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pPr>
      <w:r>
        <w:rPr>
          <w:szCs w:val="22"/>
        </w:rPr>
        <w:tab/>
        <w:t>ve věcech technických je oprávněn jednat: Ing. Andrea Kramárová, vedoucí odboru investic</w:t>
      </w:r>
    </w:p>
    <w:p>
      <w:pPr>
        <w:pStyle w:val="Styl11bPed6b"/>
        <w:tabs>
          <w:tab w:val="left" w:pos="709" w:leader="none"/>
        </w:tabs>
        <w:spacing w:before="0" w:after="0"/>
        <w:rPr/>
      </w:pPr>
      <w:r>
        <w:rPr>
          <w:szCs w:val="22"/>
        </w:rPr>
        <w:tab/>
        <w:tab/>
        <w:tab/>
        <w:tab/>
        <w:tab/>
        <w:tab/>
        <w:t xml:space="preserve">    Miloš Hemza,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pPr>
      <w:r>
        <w:rPr>
          <w:sz w:val="22"/>
          <w:szCs w:val="22"/>
        </w:rPr>
        <w:t>2.</w:t>
      </w:r>
      <w:r>
        <w:rPr>
          <w:b/>
          <w:sz w:val="22"/>
          <w:szCs w:val="22"/>
        </w:rPr>
        <w:t xml:space="preserve"> </w:t>
        <w:tab/>
        <w:t xml:space="preserve">PREPO – TEAM s.r.o. </w:t>
      </w:r>
    </w:p>
    <w:p>
      <w:pPr>
        <w:pStyle w:val="Normal"/>
        <w:tabs>
          <w:tab w:val="left" w:pos="709" w:leader="none"/>
        </w:tabs>
        <w:jc w:val="both"/>
        <w:rPr/>
      </w:pPr>
      <w:r>
        <w:rPr>
          <w:sz w:val="22"/>
          <w:szCs w:val="22"/>
        </w:rPr>
        <w:tab/>
        <w:t>se sídlem č.p. 30, 538 21 Liboměřice</w:t>
      </w:r>
    </w:p>
    <w:p>
      <w:pPr>
        <w:pStyle w:val="Normal"/>
        <w:tabs>
          <w:tab w:val="left" w:pos="709" w:leader="none"/>
        </w:tabs>
        <w:jc w:val="both"/>
        <w:rPr/>
      </w:pPr>
      <w:r>
        <w:rPr>
          <w:sz w:val="22"/>
          <w:szCs w:val="22"/>
        </w:rPr>
        <w:tab/>
        <w:t xml:space="preserve">zastoupená </w:t>
      </w:r>
      <w:r>
        <w:rPr>
          <w:b/>
          <w:sz w:val="22"/>
          <w:szCs w:val="22"/>
        </w:rPr>
        <w:t>Jaroslavem Němečkem</w:t>
      </w:r>
      <w:r>
        <w:rPr>
          <w:sz w:val="22"/>
          <w:szCs w:val="22"/>
        </w:rPr>
        <w:t>, jednatelem</w:t>
      </w:r>
    </w:p>
    <w:p>
      <w:pPr>
        <w:pStyle w:val="Normal"/>
        <w:tabs>
          <w:tab w:val="left" w:pos="709" w:leader="none"/>
        </w:tabs>
        <w:jc w:val="both"/>
        <w:rPr/>
      </w:pPr>
      <w:r>
        <w:rPr>
          <w:sz w:val="22"/>
          <w:szCs w:val="22"/>
        </w:rPr>
        <w:tab/>
        <w:t>ve věcech technických je oprávněn jednat: Jaroslav Němeček, jednatel</w:t>
      </w:r>
    </w:p>
    <w:p>
      <w:pPr>
        <w:pStyle w:val="Normal"/>
        <w:tabs>
          <w:tab w:val="left" w:pos="709" w:leader="none"/>
        </w:tabs>
        <w:jc w:val="both"/>
        <w:rPr/>
      </w:pPr>
      <w:r>
        <w:rPr>
          <w:sz w:val="22"/>
          <w:szCs w:val="22"/>
        </w:rPr>
        <w:tab/>
        <w:t>Dále mohou jednat osoby zplnomocněné.</w:t>
      </w:r>
    </w:p>
    <w:p>
      <w:pPr>
        <w:pStyle w:val="Normal"/>
        <w:tabs>
          <w:tab w:val="left" w:pos="709" w:leader="none"/>
        </w:tabs>
        <w:jc w:val="both"/>
        <w:rPr/>
      </w:pPr>
      <w:r>
        <w:rPr>
          <w:sz w:val="22"/>
          <w:szCs w:val="22"/>
        </w:rPr>
        <w:tab/>
        <w:t>IČ: 25954580</w:t>
      </w:r>
    </w:p>
    <w:p>
      <w:pPr>
        <w:pStyle w:val="Normal"/>
        <w:tabs>
          <w:tab w:val="left" w:pos="709" w:leader="none"/>
        </w:tabs>
        <w:jc w:val="both"/>
        <w:rPr/>
      </w:pPr>
      <w:r>
        <w:rPr>
          <w:sz w:val="22"/>
          <w:szCs w:val="22"/>
        </w:rPr>
        <w:tab/>
        <w:t>DIČ: CZ25954580.</w:t>
      </w:r>
    </w:p>
    <w:p>
      <w:pPr>
        <w:pStyle w:val="Normal"/>
        <w:tabs>
          <w:tab w:val="left" w:pos="709" w:leader="none"/>
        </w:tabs>
        <w:jc w:val="both"/>
        <w:rPr/>
      </w:pPr>
      <w:r>
        <w:rPr>
          <w:sz w:val="22"/>
          <w:szCs w:val="22"/>
        </w:rPr>
        <w:tab/>
        <w:t>bankovní spojení: Komerční banka, a.s.</w:t>
      </w:r>
    </w:p>
    <w:p>
      <w:pPr>
        <w:pStyle w:val="Normal"/>
        <w:tabs>
          <w:tab w:val="left" w:pos="709" w:leader="none"/>
        </w:tabs>
        <w:jc w:val="both"/>
        <w:rPr/>
      </w:pPr>
      <w:r>
        <w:rPr>
          <w:sz w:val="22"/>
          <w:szCs w:val="22"/>
        </w:rPr>
        <w:tab/>
        <w:t>č.ú.: 43-2872990207/0100</w:t>
      </w:r>
    </w:p>
    <w:p>
      <w:pPr>
        <w:pStyle w:val="Normal"/>
        <w:tabs>
          <w:tab w:val="left" w:pos="709" w:leader="none"/>
        </w:tabs>
        <w:jc w:val="both"/>
        <w:rPr/>
      </w:pPr>
      <w:r>
        <w:rPr>
          <w:sz w:val="22"/>
          <w:szCs w:val="22"/>
        </w:rPr>
        <w:t xml:space="preserve">       </w:t>
      </w:r>
      <w:r>
        <w:rPr>
          <w:sz w:val="22"/>
          <w:szCs w:val="22"/>
        </w:rPr>
        <w:tab/>
        <w:t>zapsaná v obchodním rejstříku vedeném Krajským soudem v Hradci Králové, spis.zn. C17423</w:t>
      </w:r>
    </w:p>
    <w:p>
      <w:pPr>
        <w:pStyle w:val="Normal"/>
        <w:tabs>
          <w:tab w:val="left" w:pos="709" w:leader="none"/>
        </w:tabs>
        <w:jc w:val="both"/>
        <w:rPr/>
      </w:pPr>
      <w:r>
        <w:rPr>
          <w:b/>
          <w:i/>
          <w:sz w:val="22"/>
          <w:szCs w:val="22"/>
        </w:rPr>
        <w:tab/>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pPr>
      <w:r>
        <w:rPr>
          <w:b/>
          <w:sz w:val="44"/>
          <w:szCs w:val="44"/>
        </w:rPr>
        <w:t>SMLOUVU  O  DÍLO</w:t>
      </w:r>
      <w:r>
        <w:rPr>
          <w:b/>
          <w:sz w:val="22"/>
          <w:szCs w:val="22"/>
        </w:rPr>
        <w:t xml:space="preserve"> </w:t>
      </w:r>
      <w:r>
        <w:rPr>
          <w:b/>
          <w:sz w:val="28"/>
          <w:szCs w:val="28"/>
        </w:rPr>
        <w:t>č. 220203</w:t>
      </w:r>
    </w:p>
    <w:p>
      <w:pPr>
        <w:pStyle w:val="Normal"/>
        <w:rPr>
          <w:b/>
          <w:b/>
          <w:sz w:val="22"/>
          <w:szCs w:val="22"/>
        </w:rPr>
      </w:pPr>
      <w:r>
        <w:rPr>
          <w:b/>
          <w:sz w:val="22"/>
          <w:szCs w:val="22"/>
        </w:rPr>
      </w:r>
    </w:p>
    <w:p>
      <w:pPr>
        <w:pStyle w:val="Normal"/>
        <w:widowControl w:val="false"/>
        <w:tabs>
          <w:tab w:val="left" w:pos="709" w:leader="none"/>
          <w:tab w:val="left" w:pos="4536" w:leader="none"/>
        </w:tabs>
        <w:rPr>
          <w:sz w:val="22"/>
          <w:szCs w:val="22"/>
        </w:rPr>
      </w:pPr>
      <w:r>
        <w:rPr>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stavbu </w:t>
      </w:r>
      <w:r>
        <w:rPr>
          <w:b/>
          <w:sz w:val="22"/>
          <w:szCs w:val="22"/>
        </w:rPr>
        <w:t xml:space="preserve">„Rekonstrukce ul. Lesní, Nové Město na Moravě“ </w:t>
      </w:r>
      <w:r>
        <w:rPr>
          <w:sz w:val="22"/>
          <w:szCs w:val="22"/>
        </w:rPr>
        <w:t>(dále jen „stavba“), kterou objednatel realizuje</w:t>
      </w:r>
      <w:r>
        <w:rPr>
          <w:b/>
          <w:sz w:val="22"/>
          <w:szCs w:val="22"/>
        </w:rPr>
        <w:t xml:space="preserve"> </w:t>
      </w:r>
      <w:r>
        <w:rPr>
          <w:sz w:val="22"/>
          <w:szCs w:val="22"/>
        </w:rPr>
        <w:t>podle projektové dokumentace pro provádění stavby „Rekonstrukce ul. Lesní, Nové Město na Moravě“ vypracované fy ENVIGEST PRO s.r.o., Žďárská 990, 592 31 Nové Město na Moravě v 11/2021 pod zak. č. 1710 vč. její dokladové části.</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5"/>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7"/>
        </w:numPr>
        <w:jc w:val="both"/>
        <w:rPr>
          <w:bCs/>
          <w:sz w:val="22"/>
          <w:szCs w:val="22"/>
        </w:rPr>
      </w:pPr>
      <w:r>
        <w:rPr>
          <w:bCs/>
          <w:sz w:val="22"/>
          <w:szCs w:val="22"/>
        </w:rPr>
        <w:t>Koordinátor zahájí činnost po podpisu této smlouvy a bude ji vykonávat do doby dokončení stavby.</w:t>
      </w:r>
    </w:p>
    <w:p>
      <w:pPr>
        <w:pStyle w:val="Normal"/>
        <w:ind w:left="360" w:hanging="0"/>
        <w:jc w:val="both"/>
        <w:rPr>
          <w:bCs/>
          <w:sz w:val="22"/>
          <w:szCs w:val="22"/>
        </w:rPr>
      </w:pPr>
      <w:r>
        <w:rPr>
          <w:bCs/>
          <w:sz w:val="22"/>
          <w:szCs w:val="22"/>
        </w:rPr>
      </w:r>
    </w:p>
    <w:p>
      <w:pPr>
        <w:pStyle w:val="Normal"/>
        <w:numPr>
          <w:ilvl w:val="0"/>
          <w:numId w:val="7"/>
        </w:numPr>
        <w:jc w:val="both"/>
        <w:rPr>
          <w:sz w:val="22"/>
          <w:szCs w:val="22"/>
        </w:rPr>
      </w:pPr>
      <w:r>
        <w:rPr>
          <w:bCs/>
          <w:sz w:val="22"/>
          <w:szCs w:val="22"/>
        </w:rPr>
        <w:t>Předpokládané termíny realizace stavby:</w:t>
      </w:r>
    </w:p>
    <w:p>
      <w:pPr>
        <w:pStyle w:val="Tlotextu"/>
        <w:numPr>
          <w:ilvl w:val="2"/>
          <w:numId w:val="7"/>
        </w:numPr>
        <w:tabs>
          <w:tab w:val="clear" w:pos="709"/>
          <w:tab w:val="left" w:pos="1440" w:leader="none"/>
          <w:tab w:val="left" w:pos="3544" w:leader="none"/>
        </w:tabs>
        <w:ind w:left="2160" w:hanging="1080"/>
        <w:jc w:val="both"/>
        <w:rPr>
          <w:color w:val="auto"/>
          <w:sz w:val="22"/>
          <w:szCs w:val="22"/>
        </w:rPr>
      </w:pPr>
      <w:r>
        <w:rPr>
          <w:color w:val="auto"/>
          <w:sz w:val="22"/>
          <w:szCs w:val="22"/>
        </w:rPr>
        <w:t xml:space="preserve">zahájení stavby:       </w:t>
        <w:tab/>
        <w:t>1.4.2022</w:t>
      </w:r>
    </w:p>
    <w:p>
      <w:pPr>
        <w:pStyle w:val="Tlotextu"/>
        <w:numPr>
          <w:ilvl w:val="2"/>
          <w:numId w:val="7"/>
        </w:numPr>
        <w:tabs>
          <w:tab w:val="clear" w:pos="709"/>
          <w:tab w:val="left" w:pos="1440" w:leader="none"/>
          <w:tab w:val="left" w:pos="3544" w:leader="none"/>
        </w:tabs>
        <w:ind w:left="2160" w:hanging="1080"/>
        <w:jc w:val="both"/>
        <w:rPr>
          <w:color w:val="auto"/>
          <w:sz w:val="22"/>
          <w:szCs w:val="22"/>
        </w:rPr>
      </w:pPr>
      <w:r>
        <w:rPr>
          <w:color w:val="auto"/>
          <w:sz w:val="22"/>
          <w:szCs w:val="22"/>
        </w:rPr>
        <w:t xml:space="preserve">dokončení stavby:   </w:t>
        <w:tab/>
        <w:t>30.9.2022</w:t>
      </w:r>
    </w:p>
    <w:p>
      <w:pPr>
        <w:pStyle w:val="Normal"/>
        <w:ind w:left="360" w:hanging="0"/>
        <w:jc w:val="both"/>
        <w:rPr>
          <w:bCs/>
          <w:sz w:val="22"/>
          <w:szCs w:val="22"/>
        </w:rPr>
      </w:pPr>
      <w:r>
        <w:rPr>
          <w:bCs/>
          <w:sz w:val="22"/>
          <w:szCs w:val="22"/>
        </w:rPr>
      </w:r>
    </w:p>
    <w:p>
      <w:pPr>
        <w:pStyle w:val="Normal"/>
        <w:numPr>
          <w:ilvl w:val="0"/>
          <w:numId w:val="7"/>
        </w:numPr>
        <w:jc w:val="both"/>
        <w:rPr>
          <w:bCs/>
          <w:sz w:val="22"/>
          <w:szCs w:val="22"/>
        </w:rPr>
      </w:pPr>
      <w:r>
        <w:rPr>
          <w:sz w:val="22"/>
          <w:szCs w:val="22"/>
        </w:rPr>
        <w:t>Dojde-li při realizaci stavby k prodloužení doby realizace stavby oproti původně předpokládané době realizace stavby uvedené v čl. 2, odst. 2 této smlouvy, zavazuje se koordinátor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auto"/>
          <w:sz w:val="22"/>
          <w:szCs w:val="22"/>
        </w:rPr>
      </w:pPr>
      <w:r>
        <w:rPr>
          <w:color w:val="auto"/>
          <w:sz w:val="22"/>
          <w:szCs w:val="22"/>
        </w:rPr>
      </w:r>
    </w:p>
    <w:p>
      <w:pPr>
        <w:pStyle w:val="Tlotextu"/>
        <w:jc w:val="both"/>
        <w:rPr>
          <w:color w:val="auto"/>
          <w:sz w:val="22"/>
          <w:szCs w:val="22"/>
        </w:rPr>
      </w:pPr>
      <w:r>
        <w:rPr>
          <w:color w:val="auto"/>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4"/>
        </w:numPr>
        <w:jc w:val="both"/>
        <w:rPr/>
      </w:pPr>
      <w:r>
        <w:rPr>
          <w:bCs/>
          <w:sz w:val="22"/>
          <w:szCs w:val="22"/>
        </w:rPr>
        <w:t xml:space="preserve">Smluvní strany se dohodly, že za výkon činnosti koordinátora BOZP specifikované  v Čl. 1 této smlouvy náleží koordinátorovi </w:t>
      </w:r>
      <w:r>
        <w:rPr>
          <w:b/>
          <w:bCs/>
          <w:sz w:val="22"/>
          <w:szCs w:val="22"/>
        </w:rPr>
        <w:t>odměna ve výši</w:t>
      </w:r>
      <w:r>
        <w:rPr>
          <w:bCs/>
          <w:sz w:val="22"/>
          <w:szCs w:val="22"/>
        </w:rPr>
        <w:t xml:space="preserve"> </w:t>
      </w:r>
      <w:r>
        <w:rPr>
          <w:rFonts w:eastAsia="Times New Roman" w:cs="Times New Roman"/>
          <w:b/>
          <w:bCs/>
          <w:color w:val="auto"/>
          <w:kern w:val="0"/>
          <w:sz w:val="22"/>
          <w:szCs w:val="22"/>
          <w:lang w:val="cs-CZ" w:eastAsia="zh-CN" w:bidi="ar-SA"/>
        </w:rPr>
        <w:t>11 500,</w:t>
      </w:r>
      <w:r>
        <w:rPr>
          <w:b/>
          <w:bCs/>
          <w:sz w:val="22"/>
          <w:szCs w:val="22"/>
        </w:rPr>
        <w:t xml:space="preserve">- Kč bez DPH.                                                                                                                                                                                    </w:t>
      </w:r>
    </w:p>
    <w:p>
      <w:pPr>
        <w:pStyle w:val="Normal"/>
        <w:numPr>
          <w:ilvl w:val="0"/>
          <w:numId w:val="0"/>
        </w:numPr>
        <w:ind w:left="720" w:hanging="0"/>
        <w:jc w:val="both"/>
        <w:rPr/>
      </w:pPr>
      <w:r>
        <w:rPr>
          <w:b/>
          <w:bCs/>
          <w:sz w:val="22"/>
          <w:szCs w:val="22"/>
        </w:rPr>
        <w:t xml:space="preserve"> </w:t>
      </w:r>
      <w:r>
        <w:rPr>
          <w:bCs/>
          <w:sz w:val="22"/>
          <w:szCs w:val="22"/>
        </w:rPr>
        <w:t>K této ceně bude připočteno DPH ve výši dle platných předpisů.</w:t>
      </w:r>
    </w:p>
    <w:p>
      <w:pPr>
        <w:pStyle w:val="Normal"/>
        <w:ind w:left="360" w:hanging="0"/>
        <w:jc w:val="both"/>
        <w:rPr>
          <w:bCs/>
          <w:sz w:val="22"/>
          <w:szCs w:val="22"/>
        </w:rPr>
      </w:pPr>
      <w:r>
        <w:rPr>
          <w:bCs/>
          <w:sz w:val="22"/>
          <w:szCs w:val="22"/>
        </w:rPr>
      </w:r>
    </w:p>
    <w:p>
      <w:pPr>
        <w:pStyle w:val="Normal"/>
        <w:numPr>
          <w:ilvl w:val="0"/>
          <w:numId w:val="4"/>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4"/>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4"/>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sz w:val="22"/>
          <w:szCs w:val="22"/>
        </w:rPr>
      </w:pPr>
      <w:r>
        <w:rPr>
          <w:bCs/>
          <w:sz w:val="22"/>
          <w:szCs w:val="22"/>
        </w:rPr>
      </w:r>
    </w:p>
    <w:p>
      <w:pPr>
        <w:pStyle w:val="Normal"/>
        <w:ind w:left="705" w:hanging="705"/>
        <w:jc w:val="both"/>
        <w:rPr>
          <w:bCs/>
          <w:sz w:val="22"/>
          <w:szCs w:val="22"/>
        </w:rPr>
      </w:pPr>
      <w:r>
        <w:rPr>
          <w:bCs/>
          <w:sz w:val="22"/>
          <w:szCs w:val="22"/>
        </w:rPr>
      </w:r>
    </w:p>
    <w:p>
      <w:pPr>
        <w:pStyle w:val="Normal"/>
        <w:ind w:left="705" w:hanging="705"/>
        <w:jc w:val="both"/>
        <w:rPr>
          <w:bCs/>
          <w:sz w:val="22"/>
          <w:szCs w:val="22"/>
        </w:rPr>
      </w:pPr>
      <w:r>
        <w:rPr>
          <w:bCs/>
          <w:sz w:val="22"/>
          <w:szCs w:val="22"/>
        </w:rPr>
      </w:r>
    </w:p>
    <w:p>
      <w:pPr>
        <w:pStyle w:val="Normal"/>
        <w:ind w:left="705" w:hanging="705"/>
        <w:jc w:val="both"/>
        <w:rPr>
          <w:bCs/>
          <w:sz w:val="22"/>
          <w:szCs w:val="22"/>
        </w:rPr>
      </w:pPr>
      <w:r>
        <w:rPr>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3"/>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3"/>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3"/>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Závěrečná ustanovení</w:t>
      </w:r>
    </w:p>
    <w:p>
      <w:pPr>
        <w:pStyle w:val="Normal"/>
        <w:jc w:val="center"/>
        <w:rPr>
          <w:b/>
          <w:b/>
          <w:bCs/>
          <w:sz w:val="22"/>
          <w:szCs w:val="22"/>
        </w:rPr>
      </w:pPr>
      <w:r>
        <w:rPr>
          <w:b/>
          <w:bCs/>
          <w:sz w:val="22"/>
          <w:szCs w:val="22"/>
        </w:rPr>
      </w:r>
    </w:p>
    <w:p>
      <w:pPr>
        <w:pStyle w:val="Normal"/>
        <w:numPr>
          <w:ilvl w:val="0"/>
          <w:numId w:val="6"/>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6"/>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6"/>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6"/>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6"/>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6"/>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6"/>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6"/>
        </w:numPr>
        <w:jc w:val="both"/>
        <w:rPr>
          <w:sz w:val="22"/>
          <w:szCs w:val="22"/>
        </w:rPr>
      </w:pPr>
      <w:r>
        <w:rPr>
          <w:sz w:val="22"/>
          <w:szCs w:val="22"/>
        </w:rPr>
      </w:r>
    </w:p>
    <w:p>
      <w:pPr>
        <w:pStyle w:val="Normal"/>
        <w:ind w:left="720" w:hanging="0"/>
        <w:jc w:val="both"/>
        <w:rPr/>
      </w:pPr>
      <w:r>
        <w:rPr>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p>
    <w:p>
      <w:pPr>
        <w:pStyle w:val="Normal"/>
        <w:jc w:val="both"/>
        <w:rPr>
          <w:bCs/>
          <w:sz w:val="22"/>
          <w:szCs w:val="22"/>
        </w:rPr>
      </w:pPr>
      <w:r>
        <w:rPr>
          <w:bCs/>
          <w:sz w:val="22"/>
          <w:szCs w:val="22"/>
        </w:rPr>
      </w:r>
    </w:p>
    <w:p>
      <w:pPr>
        <w:pStyle w:val="Normal"/>
        <w:numPr>
          <w:ilvl w:val="0"/>
          <w:numId w:val="6"/>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6"/>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6"/>
        </w:numPr>
        <w:jc w:val="both"/>
        <w:rPr/>
      </w:pPr>
      <w:r>
        <w:rPr>
          <w:sz w:val="22"/>
          <w:szCs w:val="22"/>
        </w:rPr>
        <w:t xml:space="preserve">Tato smlouva je uzavřena v souladu s usnesením Rady města Nové Město na Moravě přijatým na její </w:t>
      </w:r>
      <w:r>
        <w:rPr>
          <w:rFonts w:eastAsia="Times New Roman" w:cs="Times New Roman"/>
          <w:color w:val="auto"/>
          <w:kern w:val="0"/>
          <w:sz w:val="22"/>
          <w:szCs w:val="22"/>
          <w:lang w:val="cs-CZ" w:eastAsia="zh-CN" w:bidi="ar-SA"/>
        </w:rPr>
        <w:t>55.</w:t>
      </w:r>
      <w:r>
        <w:rPr>
          <w:sz w:val="22"/>
          <w:szCs w:val="22"/>
        </w:rPr>
        <w:t xml:space="preserve"> schůzi dne </w:t>
      </w:r>
      <w:r>
        <w:rPr>
          <w:rFonts w:eastAsia="Times New Roman" w:cs="Times New Roman"/>
          <w:color w:val="auto"/>
          <w:kern w:val="0"/>
          <w:sz w:val="22"/>
          <w:szCs w:val="22"/>
          <w:lang w:val="cs-CZ" w:eastAsia="zh-CN" w:bidi="ar-SA"/>
        </w:rPr>
        <w:t>11.6.2018</w:t>
      </w:r>
      <w:r>
        <w:rPr>
          <w:sz w:val="22"/>
          <w:szCs w:val="22"/>
        </w:rPr>
        <w:t xml:space="preserve"> pod bodem </w:t>
      </w:r>
      <w:r>
        <w:rPr>
          <w:rFonts w:eastAsia="Times New Roman" w:cs="Times New Roman"/>
          <w:color w:val="auto"/>
          <w:kern w:val="0"/>
          <w:sz w:val="22"/>
          <w:szCs w:val="22"/>
          <w:lang w:val="cs-CZ" w:eastAsia="zh-CN" w:bidi="ar-SA"/>
        </w:rPr>
        <w:t>38</w:t>
      </w:r>
      <w:r>
        <w:rPr>
          <w:sz w:val="22"/>
          <w:szCs w:val="22"/>
        </w:rPr>
        <w:t>/</w:t>
      </w:r>
      <w:r>
        <w:rPr>
          <w:rFonts w:eastAsia="Times New Roman" w:cs="Times New Roman"/>
          <w:color w:val="auto"/>
          <w:kern w:val="0"/>
          <w:sz w:val="22"/>
          <w:szCs w:val="22"/>
          <w:lang w:val="cs-CZ" w:eastAsia="zh-CN" w:bidi="ar-SA"/>
        </w:rPr>
        <w:t>55</w:t>
      </w:r>
      <w:r>
        <w:rPr>
          <w:sz w:val="22"/>
          <w:szCs w:val="22"/>
        </w:rPr>
        <w:t>/RM/20</w:t>
      </w:r>
      <w:r>
        <w:rPr>
          <w:rFonts w:eastAsia="Times New Roman" w:cs="Times New Roman"/>
          <w:color w:val="auto"/>
          <w:kern w:val="0"/>
          <w:sz w:val="22"/>
          <w:szCs w:val="22"/>
          <w:lang w:val="cs-CZ" w:eastAsia="zh-CN" w:bidi="ar-SA"/>
        </w:rPr>
        <w:t>18.</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pozbývá platnosti a účinnosti, pokud stavba nebude zahájena do 31.12.2023.</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Nedílnou součástí této smlouvy je :</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p>
    <w:p>
      <w:pPr>
        <w:pStyle w:val="Normal"/>
        <w:numPr>
          <w:ilvl w:val="0"/>
          <w:numId w:val="6"/>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pPr>
      <w:r>
        <w:rPr>
          <w:bCs/>
          <w:sz w:val="22"/>
          <w:szCs w:val="22"/>
        </w:rPr>
        <w:t>V Novém Městě na Moravě</w:t>
        <w:tab/>
        <w:t>V Liboměřicích</w:t>
      </w:r>
    </w:p>
    <w:p>
      <w:pPr>
        <w:pStyle w:val="Normal"/>
        <w:tabs>
          <w:tab w:val="clear" w:pos="709"/>
          <w:tab w:val="left" w:pos="4500" w:leader="none"/>
        </w:tabs>
        <w:jc w:val="both"/>
        <w:rPr/>
      </w:pPr>
      <w:r>
        <w:rPr>
          <w:bCs/>
          <w:sz w:val="22"/>
          <w:szCs w:val="22"/>
        </w:rPr>
        <w:t xml:space="preserve">dne </w:t>
        <w:tab/>
        <w:t xml:space="preserve">dne </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pPr>
      <w:r>
        <w:rPr>
          <w:color w:val="auto"/>
          <w:sz w:val="22"/>
          <w:szCs w:val="22"/>
        </w:rPr>
        <w:tab/>
      </w:r>
    </w:p>
    <w:p>
      <w:pPr>
        <w:pStyle w:val="Tlotextu"/>
        <w:tabs>
          <w:tab w:val="clear" w:pos="709"/>
          <w:tab w:val="left" w:pos="4500" w:leader="none"/>
        </w:tabs>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pPr>
      <w:r>
        <w:rPr>
          <w:color w:val="auto"/>
          <w:sz w:val="22"/>
          <w:szCs w:val="22"/>
        </w:rPr>
        <w:tab/>
        <w:t>Michal Šmarda</w:t>
        <w:tab/>
        <w:t xml:space="preserve">           Jaroslav Němeček</w:t>
      </w:r>
    </w:p>
    <w:p>
      <w:pPr>
        <w:pStyle w:val="Tlotextu"/>
        <w:tabs>
          <w:tab w:val="clear" w:pos="709"/>
          <w:tab w:val="center" w:pos="1620" w:leader="none"/>
          <w:tab w:val="left" w:pos="4500" w:leader="none"/>
          <w:tab w:val="center" w:pos="6300" w:leader="none"/>
        </w:tabs>
        <w:jc w:val="both"/>
        <w:rPr/>
      </w:pPr>
      <w:r>
        <w:rPr>
          <w:bCs/>
          <w:color w:val="auto"/>
          <w:sz w:val="22"/>
          <w:szCs w:val="22"/>
        </w:rPr>
        <w:tab/>
        <w:t xml:space="preserve">starosta    </w:t>
        <w:tab/>
        <w:t xml:space="preserve">                  jednatel</w:t>
      </w:r>
    </w:p>
    <w:sectPr>
      <w:footerReference w:type="default" r:id="rId2"/>
      <w:type w:val="nextPage"/>
      <w:pgSz w:w="11906" w:h="16838"/>
      <w:pgMar w:left="1417" w:right="1417" w:header="0" w:top="1417" w:footer="708" w:bottom="1079"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313246944"/>
    </w:sdtPr>
    <w:sdtContent>
      <w:p>
        <w:pPr>
          <w:pStyle w:val="Zpat"/>
          <w:jc w:val="center"/>
          <w:rPr/>
        </w:pPr>
        <w:r>
          <w:rPr/>
          <w:fldChar w:fldCharType="begin"/>
        </w:r>
        <w:r>
          <w:rPr/>
          <w:instrText> PAGE </w:instrText>
        </w:r>
        <w:r>
          <w:rPr/>
          <w:fldChar w:fldCharType="separate"/>
        </w:r>
        <w:r>
          <w:rPr/>
          <w:t>5</w:t>
        </w:r>
        <w:r>
          <w:rPr/>
          <w:fldChar w:fldCharType="end"/>
        </w:r>
      </w:p>
    </w:sdtContent>
  </w:sdt>
  <w:p>
    <w:pPr>
      <w:pStyle w:val="Zpat"/>
      <w:ind w:right="360" w:hanging="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1"/>
      <w:numFmt w:val="none"/>
      <w:suff w:val="nothing"/>
      <w:lvlText w:val=""/>
      <w:lvlJc w:val="left"/>
      <w:pPr>
        <w:ind w:left="432" w:hanging="432"/>
      </w:pPr>
    </w:lvl>
    <w:lvl w:ilvl="1">
      <w:start w:val="1"/>
      <w:pStyle w:val="Nadpis2"/>
      <w:numFmt w:val="none"/>
      <w:suff w:val="nothing"/>
      <w:lvlText w:val=""/>
      <w:lvlJc w:val="left"/>
      <w:pPr>
        <w:ind w:left="576" w:hanging="576"/>
      </w:pPr>
    </w:lvl>
    <w:lvl w:ilvl="2">
      <w:start w:val="1"/>
      <w:pStyle w:val="Nadpis3"/>
      <w:numFmt w:val="none"/>
      <w:suff w:val="nothing"/>
      <w:lvlText w:val=""/>
      <w:lvlJc w:val="left"/>
      <w:pPr>
        <w:ind w:left="720" w:hanging="720"/>
      </w:pPr>
    </w:lvl>
    <w:lvl w:ilvl="3">
      <w:start w:val="1"/>
      <w:pStyle w:val="Nadpis4"/>
      <w:numFmt w:val="none"/>
      <w:suff w:val="nothing"/>
      <w:lvlText w:val=""/>
      <w:lvlJc w:val="left"/>
      <w:pPr>
        <w:ind w:left="864" w:hanging="864"/>
      </w:pPr>
    </w:lvl>
    <w:lvl w:ilvl="4">
      <w:start w:val="1"/>
      <w:pStyle w:val="Nadpis5"/>
      <w:numFmt w:val="none"/>
      <w:suff w:val="nothing"/>
      <w:lvlText w:val=""/>
      <w:lvlJc w:val="left"/>
      <w:pPr>
        <w:ind w:left="1008" w:hanging="1008"/>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rPr>
        <w:sz w:val="22"/>
        <w:b/>
        <w:szCs w:val="22"/>
        <w:rFonts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rPr>
        <w:sz w:val="22"/>
        <w:b/>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10"/>
  <w:revisionView w:insDel="0" w:formatting="0"/>
  <w:embedSystemFonts/>
  <w:defaultTabStop w:val="709"/>
  <w:autoHyphenation w:val="false"/>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af68bb"/>
    <w:pPr>
      <w:widowControl/>
      <w:suppressAutoHyphens w:val="true"/>
      <w:bidi w:val="0"/>
      <w:jc w:val="left"/>
    </w:pPr>
    <w:rPr>
      <w:rFonts w:ascii="Times New Roman" w:hAnsi="Times New Roman" w:eastAsia="Times New Roman" w:cs="Times New Roman"/>
      <w:color w:val="auto"/>
      <w:kern w:val="0"/>
      <w:sz w:val="24"/>
      <w:szCs w:val="24"/>
      <w:lang w:val="cs-CZ" w:eastAsia="zh-CN" w:bidi="ar-SA"/>
    </w:rPr>
  </w:style>
  <w:style w:type="paragraph" w:styleId="Nadpis1">
    <w:name w:val="Heading 1"/>
    <w:basedOn w:val="Normal"/>
    <w:next w:val="Normal"/>
    <w:qFormat/>
    <w:rsid w:val="00af68bb"/>
    <w:pPr>
      <w:keepNext w:val="true"/>
      <w:numPr>
        <w:ilvl w:val="0"/>
        <w:numId w:val="1"/>
      </w:numPr>
      <w:jc w:val="center"/>
      <w:outlineLvl w:val="0"/>
    </w:pPr>
    <w:rPr>
      <w:rFonts w:ascii="Arial" w:hAnsi="Arial" w:cs="Arial"/>
      <w:b/>
      <w:bCs/>
    </w:rPr>
  </w:style>
  <w:style w:type="paragraph" w:styleId="Nadpis2">
    <w:name w:val="Heading 2"/>
    <w:basedOn w:val="Normal"/>
    <w:next w:val="Normal"/>
    <w:qFormat/>
    <w:rsid w:val="00af68bb"/>
    <w:pPr>
      <w:keepNext w:val="true"/>
      <w:numPr>
        <w:ilvl w:val="1"/>
        <w:numId w:val="1"/>
      </w:numPr>
      <w:outlineLvl w:val="1"/>
    </w:pPr>
    <w:rPr>
      <w:i/>
      <w:szCs w:val="20"/>
    </w:rPr>
  </w:style>
  <w:style w:type="paragraph" w:styleId="Nadpis3">
    <w:name w:val="Heading 3"/>
    <w:basedOn w:val="Normal"/>
    <w:next w:val="Normal"/>
    <w:qFormat/>
    <w:rsid w:val="00af68bb"/>
    <w:pPr>
      <w:keepNext w:val="true"/>
      <w:numPr>
        <w:ilvl w:val="2"/>
        <w:numId w:val="1"/>
      </w:numPr>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numPr>
        <w:ilvl w:val="3"/>
        <w:numId w:val="1"/>
      </w:numPr>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numPr>
        <w:ilvl w:val="4"/>
        <w:numId w:val="1"/>
      </w:numPr>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link w:val="Textkomente"/>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link w:val="Zpat"/>
    <w:uiPriority w:val="99"/>
    <w:qFormat/>
    <w:rsid w:val="00c64cf9"/>
    <w:rPr>
      <w:sz w:val="24"/>
      <w:szCs w:val="24"/>
      <w:lang w:eastAsia="zh-CN"/>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val="cs-CZ" w:eastAsia="zh-CN" w:bidi="ar-SA"/>
    </w:rPr>
  </w:style>
  <w:style w:type="paragraph" w:styleId="Bodsmlouvy21" w:customStyle="1">
    <w:name w:val="Bod smlouvy - 2.1"/>
    <w:qFormat/>
    <w:rsid w:val="00af68bb"/>
    <w:pPr>
      <w:widowControl/>
      <w:suppressAutoHyphens w:val="true"/>
      <w:bidi w:val="0"/>
      <w:jc w:val="both"/>
    </w:pPr>
    <w:rPr>
      <w:rFonts w:ascii="Times New Roman" w:hAnsi="Times New Roman" w:eastAsia="Times New Roman" w:cs="Times New Roman"/>
      <w:color w:val="000000"/>
      <w:kern w:val="0"/>
      <w:sz w:val="22"/>
      <w:szCs w:val="20"/>
      <w:lang w:val="cs-CZ" w:eastAsia="zh-CN"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hadow/>
      <w:szCs w:val="20"/>
      <w:lang w:eastAsia="cs-CZ"/>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8F2495-B06F-4EE1-A970-DA213F462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Application>LibreOffice/6.3.1.2$Windows_x86 LibreOffice_project/b79626edf0065ac373bd1df5c28bd630b4424273</Application>
  <Pages>5</Pages>
  <Words>1724</Words>
  <Characters>10114</Characters>
  <CharactersWithSpaces>11982</CharactersWithSpaces>
  <Paragraphs>93</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2021-01-25T12:58:00Z</dcterms:created>
  <dc:creator>Ing. Petr Vrbka</dc:creator>
  <dc:description/>
  <dc:language>cs-CZ</dc:language>
  <cp:lastModifiedBy/>
  <cp:lastPrinted>2022-02-08T10:40:00Z</cp:lastPrinted>
  <dcterms:modified xsi:type="dcterms:W3CDTF">2022-02-08T10:40:27Z</dcterms:modified>
  <cp:revision>34</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Město Nové Město na Moravě</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